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6EBD1253" w:rsidR="000B01A4" w:rsidRDefault="00DC4C91" w:rsidP="000B01A4">
      <w:pPr>
        <w:pStyle w:val="ListParagraph"/>
        <w:numPr>
          <w:ilvl w:val="0"/>
          <w:numId w:val="1"/>
        </w:numPr>
        <w:spacing w:after="0"/>
      </w:pPr>
      <w:r>
        <w:t>Working group n</w:t>
      </w:r>
      <w:r w:rsidR="000B01A4" w:rsidRPr="003110FB">
        <w:t>ame:</w:t>
      </w:r>
    </w:p>
    <w:p w14:paraId="6674E479" w14:textId="77777777" w:rsidR="00A025BE" w:rsidRPr="003110FB" w:rsidRDefault="00A025BE" w:rsidP="00A025BE">
      <w:pPr>
        <w:pStyle w:val="ListParagraph"/>
        <w:spacing w:after="0"/>
      </w:pPr>
    </w:p>
    <w:p w14:paraId="007881C2" w14:textId="0435BD34" w:rsidR="000B01A4" w:rsidRPr="003110FB" w:rsidRDefault="00A025BE" w:rsidP="00A025BE">
      <w:pPr>
        <w:spacing w:after="0"/>
        <w:ind w:firstLine="720"/>
      </w:pPr>
      <w:r w:rsidRPr="00FD59B3">
        <w:rPr>
          <w:rFonts w:cstheme="minorHAnsi"/>
          <w:i/>
          <w:color w:val="2E74B5" w:themeColor="accent1" w:themeShade="BF"/>
        </w:rPr>
        <w:t>Operations - Production/ Manufacturing</w:t>
      </w:r>
      <w:r>
        <w:rPr>
          <w:rFonts w:cstheme="minorHAnsi"/>
          <w:i/>
          <w:color w:val="2E74B5" w:themeColor="accent1" w:themeShade="BF"/>
        </w:rPr>
        <w:tab/>
      </w:r>
    </w:p>
    <w:p w14:paraId="403A0A8A" w14:textId="77777777" w:rsidR="000B01A4" w:rsidRPr="003110FB" w:rsidRDefault="000B01A4" w:rsidP="000B01A4">
      <w:pPr>
        <w:pStyle w:val="ListParagraph"/>
        <w:spacing w:after="0"/>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2DF7D040" w14:textId="77777777" w:rsidR="000B01A4" w:rsidRPr="003110FB" w:rsidRDefault="000B01A4" w:rsidP="000B01A4">
      <w:pPr>
        <w:spacing w:after="0"/>
      </w:pPr>
    </w:p>
    <w:p w14:paraId="16FCE777" w14:textId="6C8D7DB1" w:rsidR="000B01A4" w:rsidRPr="00827B51" w:rsidRDefault="00A025BE" w:rsidP="00A025BE">
      <w:pPr>
        <w:spacing w:after="0"/>
        <w:ind w:left="720"/>
        <w:rPr>
          <w:i/>
          <w:color w:val="2E74B5" w:themeColor="accent1" w:themeShade="BF"/>
        </w:rPr>
      </w:pPr>
      <w:r w:rsidRPr="00827B51">
        <w:rPr>
          <w:i/>
          <w:color w:val="2E74B5" w:themeColor="accent1" w:themeShade="BF"/>
        </w:rPr>
        <w:t>Anna Thornley – Department of Taxation</w:t>
      </w:r>
    </w:p>
    <w:p w14:paraId="0B1BE923" w14:textId="0152A619" w:rsidR="00A025BE" w:rsidRPr="00827B51" w:rsidRDefault="00A025BE" w:rsidP="00A025BE">
      <w:pPr>
        <w:spacing w:after="0"/>
        <w:ind w:left="720"/>
        <w:rPr>
          <w:i/>
          <w:color w:val="2E74B5" w:themeColor="accent1" w:themeShade="BF"/>
        </w:rPr>
      </w:pPr>
      <w:r w:rsidRPr="00827B51">
        <w:rPr>
          <w:i/>
          <w:color w:val="2E74B5" w:themeColor="accent1" w:themeShade="BF"/>
        </w:rPr>
        <w:t>Bryan Hyun – Owner/Operator – The Grove</w:t>
      </w:r>
    </w:p>
    <w:p w14:paraId="5ABACDAB" w14:textId="5A12215B" w:rsidR="00A025BE" w:rsidRPr="00827B51" w:rsidRDefault="00A025BE" w:rsidP="00A025BE">
      <w:pPr>
        <w:spacing w:after="0"/>
        <w:ind w:left="720"/>
        <w:rPr>
          <w:i/>
          <w:color w:val="2E74B5" w:themeColor="accent1" w:themeShade="BF"/>
        </w:rPr>
      </w:pPr>
      <w:r w:rsidRPr="00827B51">
        <w:rPr>
          <w:i/>
          <w:color w:val="2E74B5" w:themeColor="accent1" w:themeShade="BF"/>
        </w:rPr>
        <w:t>Jake Ward – Pure Tonic Concentrates</w:t>
      </w:r>
    </w:p>
    <w:p w14:paraId="632B8079" w14:textId="77777777" w:rsidR="00A025BE" w:rsidRPr="003110FB" w:rsidRDefault="00A025BE" w:rsidP="00A025BE">
      <w:pPr>
        <w:spacing w:after="0"/>
        <w:ind w:left="72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1C1EEA62" w:rsidR="00E9081E" w:rsidRDefault="00E9081E" w:rsidP="00A025BE">
      <w:pPr>
        <w:spacing w:after="0"/>
        <w:ind w:left="720"/>
      </w:pPr>
    </w:p>
    <w:p w14:paraId="4B6EF92C" w14:textId="5E0CFCD0" w:rsidR="00827B51" w:rsidRPr="00827B51" w:rsidRDefault="0057569D" w:rsidP="00516A65">
      <w:pPr>
        <w:spacing w:after="0"/>
        <w:ind w:left="720"/>
        <w:jc w:val="both"/>
        <w:rPr>
          <w:i/>
          <w:color w:val="2E74B5" w:themeColor="accent1" w:themeShade="BF"/>
        </w:rPr>
      </w:pPr>
      <w:r w:rsidRPr="00827B51">
        <w:rPr>
          <w:i/>
          <w:color w:val="2E74B5" w:themeColor="accent1" w:themeShade="BF"/>
        </w:rPr>
        <w:t>All marijuana facilities will have internal inventory control systems and movement of all controlled substances</w:t>
      </w:r>
      <w:r w:rsidR="00827B51" w:rsidRPr="00827B51">
        <w:rPr>
          <w:i/>
          <w:color w:val="2E74B5" w:themeColor="accent1" w:themeShade="BF"/>
        </w:rPr>
        <w:t xml:space="preserve"> between facilities</w:t>
      </w:r>
      <w:r w:rsidRPr="00827B51">
        <w:rPr>
          <w:i/>
          <w:color w:val="2E74B5" w:themeColor="accent1" w:themeShade="BF"/>
        </w:rPr>
        <w:t xml:space="preserve"> will be closely monitored per</w:t>
      </w:r>
      <w:r w:rsidR="00827B51" w:rsidRPr="00827B51">
        <w:rPr>
          <w:i/>
          <w:color w:val="2E74B5" w:themeColor="accent1" w:themeShade="BF"/>
        </w:rPr>
        <w:t xml:space="preserve"> regulation.</w:t>
      </w:r>
      <w:r w:rsidRPr="00827B51">
        <w:rPr>
          <w:i/>
          <w:color w:val="2E74B5" w:themeColor="accent1" w:themeShade="BF"/>
        </w:rPr>
        <w:t xml:space="preserve"> </w:t>
      </w:r>
      <w:r w:rsidR="00827B51" w:rsidRPr="00827B51">
        <w:rPr>
          <w:i/>
          <w:color w:val="2E74B5" w:themeColor="accent1" w:themeShade="BF"/>
        </w:rPr>
        <w:t xml:space="preserve">It has been proposed that a centralized seed-to-sale </w:t>
      </w:r>
      <w:r w:rsidR="00FA5986">
        <w:rPr>
          <w:i/>
          <w:color w:val="2E74B5" w:themeColor="accent1" w:themeShade="BF"/>
        </w:rPr>
        <w:t xml:space="preserve">system </w:t>
      </w:r>
      <w:r w:rsidR="00827B51" w:rsidRPr="00827B51">
        <w:rPr>
          <w:i/>
          <w:color w:val="2E74B5" w:themeColor="accent1" w:themeShade="BF"/>
        </w:rPr>
        <w:t>also be put into effect</w:t>
      </w:r>
      <w:r w:rsidR="00007E87">
        <w:rPr>
          <w:i/>
          <w:color w:val="2E74B5" w:themeColor="accent1" w:themeShade="BF"/>
        </w:rPr>
        <w:t xml:space="preserve"> by the Department</w:t>
      </w:r>
      <w:r w:rsidR="00827B51" w:rsidRPr="00827B51">
        <w:rPr>
          <w:i/>
          <w:color w:val="2E74B5" w:themeColor="accent1" w:themeShade="BF"/>
        </w:rPr>
        <w:t xml:space="preserve"> which would centrally monitor all inventory in the State</w:t>
      </w:r>
      <w:r w:rsidR="00FA5986">
        <w:rPr>
          <w:i/>
          <w:color w:val="2E74B5" w:themeColor="accent1" w:themeShade="BF"/>
        </w:rPr>
        <w:t>. This da</w:t>
      </w:r>
      <w:r w:rsidR="00F402A1">
        <w:rPr>
          <w:i/>
          <w:color w:val="2E74B5" w:themeColor="accent1" w:themeShade="BF"/>
        </w:rPr>
        <w:t>ta would potentially be used to</w:t>
      </w:r>
      <w:r w:rsidR="00FA5986">
        <w:rPr>
          <w:i/>
          <w:color w:val="2E74B5" w:themeColor="accent1" w:themeShade="BF"/>
        </w:rPr>
        <w:t xml:space="preserve"> not only track inventory</w:t>
      </w:r>
      <w:r w:rsidR="00827B51" w:rsidRPr="00827B51">
        <w:rPr>
          <w:i/>
          <w:color w:val="2E74B5" w:themeColor="accent1" w:themeShade="BF"/>
        </w:rPr>
        <w:t xml:space="preserve"> but also for</w:t>
      </w:r>
      <w:r w:rsidR="00FA5986">
        <w:rPr>
          <w:i/>
          <w:color w:val="2E74B5" w:themeColor="accent1" w:themeShade="BF"/>
        </w:rPr>
        <w:t xml:space="preserve"> tracking</w:t>
      </w:r>
      <w:r w:rsidR="00827B51" w:rsidRPr="00827B51">
        <w:rPr>
          <w:i/>
          <w:color w:val="2E74B5" w:themeColor="accent1" w:themeShade="BF"/>
        </w:rPr>
        <w:t xml:space="preserve"> business transaction</w:t>
      </w:r>
      <w:r w:rsidR="00FA5986">
        <w:rPr>
          <w:i/>
          <w:color w:val="2E74B5" w:themeColor="accent1" w:themeShade="BF"/>
        </w:rPr>
        <w:t xml:space="preserve">s </w:t>
      </w:r>
      <w:r w:rsidR="00827B51" w:rsidRPr="00827B51">
        <w:rPr>
          <w:i/>
          <w:color w:val="2E74B5" w:themeColor="accent1" w:themeShade="BF"/>
        </w:rPr>
        <w:t xml:space="preserve">so that fair market values may </w:t>
      </w:r>
      <w:r w:rsidR="00FA5986">
        <w:rPr>
          <w:i/>
          <w:color w:val="2E74B5" w:themeColor="accent1" w:themeShade="BF"/>
        </w:rPr>
        <w:t xml:space="preserve">be established per NRS 453D. </w:t>
      </w:r>
    </w:p>
    <w:p w14:paraId="425AE570" w14:textId="77777777" w:rsidR="00827B51" w:rsidRPr="00827B51" w:rsidRDefault="00827B51" w:rsidP="00516A65">
      <w:pPr>
        <w:spacing w:after="0"/>
        <w:ind w:left="720"/>
        <w:jc w:val="both"/>
        <w:rPr>
          <w:i/>
          <w:color w:val="2E74B5" w:themeColor="accent1" w:themeShade="BF"/>
        </w:rPr>
      </w:pPr>
    </w:p>
    <w:p w14:paraId="60AF5C54" w14:textId="1A41535E" w:rsidR="00827B51" w:rsidRPr="00827B51" w:rsidRDefault="00FA5986" w:rsidP="00516A65">
      <w:pPr>
        <w:spacing w:after="0"/>
        <w:ind w:left="720"/>
        <w:jc w:val="both"/>
        <w:rPr>
          <w:i/>
          <w:color w:val="2E74B5" w:themeColor="accent1" w:themeShade="BF"/>
        </w:rPr>
      </w:pPr>
      <w:r>
        <w:rPr>
          <w:i/>
          <w:color w:val="2E74B5" w:themeColor="accent1" w:themeShade="BF"/>
        </w:rPr>
        <w:t>Since i</w:t>
      </w:r>
      <w:r w:rsidRPr="00827B51">
        <w:rPr>
          <w:i/>
          <w:color w:val="2E74B5" w:themeColor="accent1" w:themeShade="BF"/>
        </w:rPr>
        <w:t>nventory control systems are a very important part of how the indus</w:t>
      </w:r>
      <w:r>
        <w:rPr>
          <w:i/>
          <w:color w:val="2E74B5" w:themeColor="accent1" w:themeShade="BF"/>
        </w:rPr>
        <w:t>try interfaces with regulators, i</w:t>
      </w:r>
      <w:r w:rsidR="00A025BE" w:rsidRPr="00827B51">
        <w:rPr>
          <w:i/>
          <w:color w:val="2E74B5" w:themeColor="accent1" w:themeShade="BF"/>
        </w:rPr>
        <w:t>t is recommended that the Department</w:t>
      </w:r>
      <w:r w:rsidR="0057569D" w:rsidRPr="00827B51">
        <w:rPr>
          <w:i/>
          <w:color w:val="2E74B5" w:themeColor="accent1" w:themeShade="BF"/>
        </w:rPr>
        <w:t xml:space="preserve"> work closely with industry to decide </w:t>
      </w:r>
      <w:r w:rsidR="00A025BE" w:rsidRPr="00827B51">
        <w:rPr>
          <w:i/>
          <w:color w:val="2E74B5" w:themeColor="accent1" w:themeShade="BF"/>
        </w:rPr>
        <w:t>whether a centralized seed-to-sale inventory tracking system is necessary</w:t>
      </w:r>
      <w:r w:rsidR="00827B51" w:rsidRPr="00827B51">
        <w:rPr>
          <w:i/>
          <w:color w:val="2E74B5" w:themeColor="accent1" w:themeShade="BF"/>
        </w:rPr>
        <w:t xml:space="preserve">. </w:t>
      </w:r>
      <w:r w:rsidR="00A025BE" w:rsidRPr="00827B51">
        <w:rPr>
          <w:i/>
          <w:color w:val="2E74B5" w:themeColor="accent1" w:themeShade="BF"/>
        </w:rPr>
        <w:t xml:space="preserve"> If the system is deemed necessary, then the Department should work closely with industry to design and implement the system. </w:t>
      </w:r>
    </w:p>
    <w:p w14:paraId="4A3730F6" w14:textId="77777777" w:rsidR="00E9081E" w:rsidRPr="003110FB" w:rsidRDefault="00E9081E" w:rsidP="00E9081E">
      <w:pPr>
        <w:pStyle w:val="ListParagraph"/>
        <w:spacing w:after="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2FFEFA58" w14:textId="61BC96C6" w:rsidR="00E9081E" w:rsidRDefault="00E9081E" w:rsidP="00E9081E">
      <w:pPr>
        <w:spacing w:after="0"/>
      </w:pPr>
    </w:p>
    <w:p w14:paraId="20BE3E0E" w14:textId="7597B0C4" w:rsidR="00A025BE" w:rsidRPr="00A025BE" w:rsidRDefault="00516A65" w:rsidP="00A025BE">
      <w:pPr>
        <w:tabs>
          <w:tab w:val="left" w:pos="8613"/>
        </w:tabs>
        <w:spacing w:after="200" w:line="300" w:lineRule="exact"/>
        <w:ind w:left="821" w:right="693"/>
        <w:jc w:val="both"/>
        <w:rPr>
          <w:rFonts w:ascii="Calibri" w:hAnsi="Calibri"/>
          <w:i/>
          <w:color w:val="2E74B5" w:themeColor="accent1" w:themeShade="BF"/>
        </w:rPr>
      </w:pPr>
      <w:r>
        <w:rPr>
          <w:i/>
          <w:color w:val="2E74B5" w:themeColor="accent1" w:themeShade="BF"/>
        </w:rPr>
        <w:t>Guiding Principle 2 -</w:t>
      </w:r>
      <w:r w:rsidR="00A025BE" w:rsidRPr="00A025BE">
        <w:rPr>
          <w:i/>
          <w:color w:val="2E74B5" w:themeColor="accent1" w:themeShade="BF"/>
        </w:rPr>
        <w:t xml:space="preserve"> </w:t>
      </w:r>
      <w:r w:rsidR="00A025BE" w:rsidRPr="00A025BE">
        <w:rPr>
          <w:rFonts w:ascii="Calibri" w:hAnsi="Calibri"/>
          <w:i/>
          <w:color w:val="2E74B5" w:themeColor="accent1" w:themeShade="BF"/>
        </w:rPr>
        <w:t>Be responsive to the needs and issues of consumers, non-consumers, local governments and the industry</w:t>
      </w:r>
    </w:p>
    <w:p w14:paraId="40B6542C" w14:textId="15D24221" w:rsidR="00E9081E" w:rsidRPr="003110FB" w:rsidRDefault="00516A65" w:rsidP="00516A65">
      <w:pPr>
        <w:tabs>
          <w:tab w:val="left" w:pos="9360"/>
        </w:tabs>
        <w:spacing w:after="200" w:line="300" w:lineRule="exact"/>
        <w:ind w:left="821"/>
        <w:jc w:val="both"/>
      </w:pPr>
      <w:r>
        <w:rPr>
          <w:rFonts w:ascii="Calibri" w:hAnsi="Calibri"/>
          <w:i/>
          <w:color w:val="2E74B5" w:themeColor="accent1" w:themeShade="BF"/>
        </w:rPr>
        <w:t>Guiding Principle 4 -</w:t>
      </w:r>
      <w:r w:rsidR="00A025BE" w:rsidRPr="00A025BE">
        <w:rPr>
          <w:rFonts w:ascii="Calibri" w:hAnsi="Calibri"/>
          <w:i/>
          <w:color w:val="2E74B5" w:themeColor="accent1" w:themeShade="BF"/>
        </w:rPr>
        <w:t xml:space="preserve"> Propose efficient and effective regulation that is clear and reasonable and not unduly burdensome</w:t>
      </w:r>
    </w:p>
    <w:p w14:paraId="2DC7E08C" w14:textId="77777777" w:rsidR="00E9081E" w:rsidRPr="003110FB" w:rsidRDefault="00E9081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4B61E723" w14:textId="5146CBD3" w:rsidR="00E9081E" w:rsidRPr="00827B51" w:rsidRDefault="00A025BE" w:rsidP="00516A65">
      <w:pPr>
        <w:pStyle w:val="ListParagraph"/>
        <w:numPr>
          <w:ilvl w:val="0"/>
          <w:numId w:val="3"/>
        </w:numPr>
        <w:spacing w:after="0"/>
        <w:jc w:val="both"/>
        <w:rPr>
          <w:i/>
          <w:color w:val="2E74B5" w:themeColor="accent1" w:themeShade="BF"/>
        </w:rPr>
      </w:pPr>
      <w:r w:rsidRPr="00827B51">
        <w:rPr>
          <w:i/>
          <w:color w:val="2E74B5" w:themeColor="accent1" w:themeShade="BF"/>
        </w:rPr>
        <w:t>NRS 453D.200 (c) Requirements for the security of marijuana establishments;</w:t>
      </w:r>
    </w:p>
    <w:p w14:paraId="3F4F9EA1" w14:textId="746F6929" w:rsidR="00E9081E" w:rsidRPr="00827B51" w:rsidRDefault="00A025BE" w:rsidP="00516A65">
      <w:pPr>
        <w:pStyle w:val="ListParagraph"/>
        <w:numPr>
          <w:ilvl w:val="0"/>
          <w:numId w:val="3"/>
        </w:numPr>
        <w:spacing w:after="0"/>
        <w:jc w:val="both"/>
        <w:rPr>
          <w:i/>
          <w:color w:val="2E74B5" w:themeColor="accent1" w:themeShade="BF"/>
        </w:rPr>
      </w:pPr>
      <w:r w:rsidRPr="00827B51">
        <w:rPr>
          <w:i/>
          <w:color w:val="2E74B5" w:themeColor="accent1" w:themeShade="BF"/>
        </w:rPr>
        <w:t>NRS 453D.200 (d) Requirements to prevent the sale or diversion of marijuana and marijuana products to persons under 21 years of age</w:t>
      </w:r>
    </w:p>
    <w:p w14:paraId="110D6CAD" w14:textId="1DB5D760" w:rsidR="00A025BE" w:rsidRPr="00827B51" w:rsidRDefault="00A025BE" w:rsidP="00516A65">
      <w:pPr>
        <w:pStyle w:val="ListParagraph"/>
        <w:numPr>
          <w:ilvl w:val="0"/>
          <w:numId w:val="3"/>
        </w:numPr>
        <w:spacing w:after="0"/>
        <w:jc w:val="both"/>
        <w:rPr>
          <w:i/>
          <w:color w:val="2E74B5" w:themeColor="accent1" w:themeShade="BF"/>
        </w:rPr>
      </w:pPr>
      <w:r w:rsidRPr="00827B51">
        <w:rPr>
          <w:i/>
          <w:color w:val="2E74B5" w:themeColor="accent1" w:themeShade="BF"/>
        </w:rPr>
        <w:t>NRS 453D.200 (g) Requirements for record keeping by marijuana establishments</w:t>
      </w:r>
    </w:p>
    <w:p w14:paraId="64144761" w14:textId="5C32947E" w:rsidR="0057569D" w:rsidRDefault="0057569D" w:rsidP="00516A65">
      <w:pPr>
        <w:pStyle w:val="ListParagraph"/>
        <w:numPr>
          <w:ilvl w:val="0"/>
          <w:numId w:val="3"/>
        </w:numPr>
        <w:spacing w:after="0"/>
        <w:jc w:val="both"/>
      </w:pPr>
      <w:r w:rsidRPr="00827B51">
        <w:rPr>
          <w:i/>
          <w:color w:val="2E74B5" w:themeColor="accent1" w:themeShade="BF"/>
        </w:rPr>
        <w:t>NRS 453D.200 (l) Procedures to establish the fair market value at wholesale of marijuana</w:t>
      </w:r>
    </w:p>
    <w:p w14:paraId="55329758" w14:textId="77777777" w:rsidR="00A025BE" w:rsidRPr="003110FB" w:rsidRDefault="00A025BE" w:rsidP="00516A65">
      <w:pPr>
        <w:pStyle w:val="ListParagraph"/>
        <w:spacing w:after="0"/>
        <w:jc w:val="both"/>
      </w:pPr>
    </w:p>
    <w:p w14:paraId="6C85577C" w14:textId="77777777" w:rsidR="00E9081E" w:rsidRPr="003110FB" w:rsidRDefault="00E9081E" w:rsidP="00E9081E">
      <w:pPr>
        <w:pStyle w:val="ListParagraph"/>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5C6BCCA4" w14:textId="4C6FF8F4" w:rsidR="001B0ADC" w:rsidRDefault="001B0ADC" w:rsidP="00A025BE">
      <w:pPr>
        <w:spacing w:after="0"/>
        <w:ind w:left="720"/>
      </w:pPr>
    </w:p>
    <w:p w14:paraId="1377ECA8" w14:textId="4484EDDD" w:rsidR="001B0ADC" w:rsidRPr="003110FB" w:rsidRDefault="00827B51" w:rsidP="00516A65">
      <w:pPr>
        <w:spacing w:after="0"/>
        <w:ind w:left="720"/>
        <w:jc w:val="both"/>
      </w:pPr>
      <w:r w:rsidRPr="00827B51">
        <w:rPr>
          <w:i/>
          <w:color w:val="2E74B5" w:themeColor="accent1" w:themeShade="BF"/>
        </w:rPr>
        <w:t xml:space="preserve">This recommendation resolves the issue of implementing an inventory control </w:t>
      </w:r>
      <w:r w:rsidR="00FA5986" w:rsidRPr="00827B51">
        <w:rPr>
          <w:i/>
          <w:color w:val="2E74B5" w:themeColor="accent1" w:themeShade="BF"/>
        </w:rPr>
        <w:t>system</w:t>
      </w:r>
      <w:r w:rsidRPr="00827B51">
        <w:rPr>
          <w:i/>
          <w:color w:val="2E74B5" w:themeColor="accent1" w:themeShade="BF"/>
        </w:rPr>
        <w:t xml:space="preserve"> which is robust enough to allow for the gathering of pertinent data, but not redundant or unduly burdensome on the industry. </w:t>
      </w:r>
    </w:p>
    <w:p w14:paraId="7ABEA5B8" w14:textId="77777777" w:rsidR="001B0ADC" w:rsidRPr="003110FB" w:rsidRDefault="001B0ADC" w:rsidP="001B0ADC">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15FE7935" w:rsidR="00E9081E" w:rsidRDefault="00E9081E" w:rsidP="00827B51">
      <w:pPr>
        <w:spacing w:after="0"/>
        <w:ind w:left="720"/>
      </w:pPr>
    </w:p>
    <w:p w14:paraId="695679BB" w14:textId="2DA89CE0" w:rsidR="00E9081E" w:rsidRPr="00827B51" w:rsidRDefault="00827B51" w:rsidP="00827B51">
      <w:pPr>
        <w:spacing w:after="0"/>
        <w:ind w:left="720"/>
        <w:rPr>
          <w:i/>
          <w:color w:val="2E74B5" w:themeColor="accent1" w:themeShade="BF"/>
        </w:rPr>
      </w:pPr>
      <w:r w:rsidRPr="00827B51">
        <w:rPr>
          <w:i/>
          <w:color w:val="2E74B5" w:themeColor="accent1" w:themeShade="BF"/>
        </w:rPr>
        <w:t xml:space="preserve">No dissent. </w:t>
      </w:r>
    </w:p>
    <w:p w14:paraId="3588FBE3" w14:textId="77777777" w:rsidR="00E9081E" w:rsidRPr="003110FB" w:rsidRDefault="00E9081E" w:rsidP="00E9081E">
      <w:pPr>
        <w:spacing w:after="0"/>
      </w:pPr>
    </w:p>
    <w:p w14:paraId="6333FE17" w14:textId="72C80BF5"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7F7FBCB9" w14:textId="3F3327EE" w:rsidR="00827B51" w:rsidRDefault="00827B51" w:rsidP="00827B51">
      <w:pPr>
        <w:pStyle w:val="ListParagraph"/>
        <w:spacing w:after="0"/>
      </w:pPr>
    </w:p>
    <w:p w14:paraId="725CD4F6" w14:textId="1686068D" w:rsidR="00E9081E" w:rsidRPr="003110FB" w:rsidRDefault="00827B51" w:rsidP="00516A65">
      <w:pPr>
        <w:pStyle w:val="ListParagraph"/>
        <w:spacing w:after="0"/>
        <w:jc w:val="both"/>
      </w:pPr>
      <w:r w:rsidRPr="00827B51">
        <w:rPr>
          <w:i/>
          <w:color w:val="2E74B5" w:themeColor="accent1" w:themeShade="BF"/>
        </w:rPr>
        <w:t xml:space="preserve">The Department will have to reach out to industry </w:t>
      </w:r>
      <w:r w:rsidR="00FA5986" w:rsidRPr="00827B51">
        <w:rPr>
          <w:i/>
          <w:color w:val="2E74B5" w:themeColor="accent1" w:themeShade="BF"/>
        </w:rPr>
        <w:t>to</w:t>
      </w:r>
      <w:r w:rsidRPr="00827B51">
        <w:rPr>
          <w:i/>
          <w:color w:val="2E74B5" w:themeColor="accent1" w:themeShade="BF"/>
        </w:rPr>
        <w:t xml:space="preserve"> gain some knowledge as to how inventory and transactions are currently tracked and industry will have to learn more about the needs of the Department as final regulations are drafted. Inventory control systems are a very important part of how the industry interfaces with regulators.</w:t>
      </w:r>
    </w:p>
    <w:p w14:paraId="6E62C578" w14:textId="77777777" w:rsidR="00E9081E" w:rsidRPr="003110FB" w:rsidRDefault="00E9081E" w:rsidP="00E9081E">
      <w:pPr>
        <w:pStyle w:val="ListParagraph"/>
        <w:spacing w:after="0"/>
      </w:pPr>
    </w:p>
    <w:p w14:paraId="1EC95596" w14:textId="452119E9"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094862" w:rsidRPr="003110FB">
        <w:t>etc.</w:t>
      </w:r>
      <w:r w:rsidRPr="003110FB">
        <w:t>)</w:t>
      </w:r>
      <w:r w:rsidR="00B70E4E" w:rsidRPr="003110FB">
        <w:t>.</w:t>
      </w:r>
    </w:p>
    <w:p w14:paraId="334B9A2B" w14:textId="77777777" w:rsidR="00F402A1" w:rsidRDefault="00F402A1" w:rsidP="00F402A1">
      <w:pPr>
        <w:pStyle w:val="ListParagraph"/>
        <w:spacing w:after="0"/>
      </w:pPr>
      <w:bookmarkStart w:id="0" w:name="_GoBack"/>
      <w:bookmarkEnd w:id="0"/>
    </w:p>
    <w:p w14:paraId="76663EF5" w14:textId="0E05327D" w:rsidR="00F402A1" w:rsidRPr="00F402A1" w:rsidRDefault="00F402A1" w:rsidP="00F402A1">
      <w:pPr>
        <w:pStyle w:val="ListParagraph"/>
        <w:spacing w:after="0"/>
        <w:rPr>
          <w:i/>
          <w:color w:val="0070C0"/>
        </w:rPr>
      </w:pPr>
      <w:r w:rsidRPr="00F402A1">
        <w:rPr>
          <w:i/>
          <w:color w:val="0070C0"/>
        </w:rPr>
        <w:t>None</w:t>
      </w:r>
    </w:p>
    <w:p w14:paraId="4B8A26F4" w14:textId="77777777" w:rsidR="00F402A1" w:rsidRPr="003110FB" w:rsidRDefault="00F402A1" w:rsidP="00F402A1">
      <w:pPr>
        <w:pStyle w:val="ListParagraph"/>
        <w:spacing w:after="0"/>
      </w:pP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3E3F98A5"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0F6F" w14:textId="77777777" w:rsidR="008D5094" w:rsidRDefault="008D5094" w:rsidP="00391997">
      <w:pPr>
        <w:spacing w:after="0" w:line="240" w:lineRule="auto"/>
      </w:pPr>
      <w:r>
        <w:separator/>
      </w:r>
    </w:p>
  </w:endnote>
  <w:endnote w:type="continuationSeparator" w:id="0">
    <w:p w14:paraId="35DDD960" w14:textId="77777777" w:rsidR="008D5094" w:rsidRDefault="008D5094"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27262067"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8F9F6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5D4006">
      <w:rPr>
        <w:rFonts w:ascii="Calibri" w:eastAsia="Times New Roman" w:hAnsi="Calibri" w:cs="Times New Roman"/>
        <w:b/>
        <w:i/>
        <w:color w:val="3737A5"/>
        <w:sz w:val="16"/>
        <w:szCs w:val="16"/>
      </w:rPr>
      <w:t>Centralized Inventory Tracking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5D4006">
      <w:rPr>
        <w:rFonts w:ascii="Calibri" w:eastAsia="Times New Roman" w:hAnsi="Calibri" w:cs="Times New Roman"/>
        <w:bCs/>
        <w:i/>
        <w:color w:val="3737A5"/>
        <w:sz w:val="16"/>
        <w:szCs w:val="16"/>
      </w:rPr>
      <w:t>May 12,</w:t>
    </w:r>
    <w:r w:rsidR="00FC1FA5">
      <w:rPr>
        <w:rFonts w:ascii="Calibri" w:eastAsia="Times New Roman" w:hAnsi="Calibri" w:cs="Times New Roman"/>
        <w:bCs/>
        <w:i/>
        <w:color w:val="3737A5"/>
        <w:sz w:val="16"/>
        <w:szCs w:val="16"/>
      </w:rPr>
      <w:t xml:space="preserve">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75F76" w14:textId="77777777" w:rsidR="008D5094" w:rsidRDefault="008D5094" w:rsidP="00391997">
      <w:pPr>
        <w:spacing w:after="0" w:line="240" w:lineRule="auto"/>
      </w:pPr>
      <w:r>
        <w:separator/>
      </w:r>
    </w:p>
  </w:footnote>
  <w:footnote w:type="continuationSeparator" w:id="0">
    <w:p w14:paraId="4BA5EE8B" w14:textId="77777777" w:rsidR="008D5094" w:rsidRDefault="008D5094"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4EBA604B" w:rsidR="00F43822" w:rsidRPr="00F43822" w:rsidRDefault="005D4006" w:rsidP="008313F9">
    <w:pPr>
      <w:pStyle w:val="Heading2"/>
      <w:ind w:left="0"/>
      <w:jc w:val="center"/>
      <w:rPr>
        <w:sz w:val="22"/>
        <w:szCs w:val="22"/>
      </w:rPr>
    </w:pPr>
    <w:r>
      <w:rPr>
        <w:sz w:val="22"/>
        <w:szCs w:val="22"/>
      </w:rPr>
      <w:t>Centralized Inventory Tracking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74AD"/>
    <w:multiLevelType w:val="hybridMultilevel"/>
    <w:tmpl w:val="DACC5D74"/>
    <w:lvl w:ilvl="0" w:tplc="E1A06CB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51E1E"/>
    <w:multiLevelType w:val="hybridMultilevel"/>
    <w:tmpl w:val="FE383562"/>
    <w:lvl w:ilvl="0" w:tplc="B50AD3C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07E87"/>
    <w:rsid w:val="00060468"/>
    <w:rsid w:val="00094862"/>
    <w:rsid w:val="000A61D0"/>
    <w:rsid w:val="000B01A4"/>
    <w:rsid w:val="00114EF2"/>
    <w:rsid w:val="001866F9"/>
    <w:rsid w:val="001B0ADC"/>
    <w:rsid w:val="001B10FF"/>
    <w:rsid w:val="00202E4C"/>
    <w:rsid w:val="0023729A"/>
    <w:rsid w:val="003110FB"/>
    <w:rsid w:val="00391997"/>
    <w:rsid w:val="003D639A"/>
    <w:rsid w:val="004039AB"/>
    <w:rsid w:val="00435662"/>
    <w:rsid w:val="00442A3F"/>
    <w:rsid w:val="00516A65"/>
    <w:rsid w:val="00565923"/>
    <w:rsid w:val="0057569D"/>
    <w:rsid w:val="005D4006"/>
    <w:rsid w:val="005E102D"/>
    <w:rsid w:val="006B0A7E"/>
    <w:rsid w:val="006D4662"/>
    <w:rsid w:val="00700DCA"/>
    <w:rsid w:val="00753FA6"/>
    <w:rsid w:val="007746E2"/>
    <w:rsid w:val="00774894"/>
    <w:rsid w:val="007765FD"/>
    <w:rsid w:val="007A4A8C"/>
    <w:rsid w:val="00827B51"/>
    <w:rsid w:val="008313F9"/>
    <w:rsid w:val="00882EE9"/>
    <w:rsid w:val="008D5094"/>
    <w:rsid w:val="008F0634"/>
    <w:rsid w:val="009201F4"/>
    <w:rsid w:val="009264B2"/>
    <w:rsid w:val="00957E83"/>
    <w:rsid w:val="00961D8A"/>
    <w:rsid w:val="009805E6"/>
    <w:rsid w:val="00996A51"/>
    <w:rsid w:val="009D1938"/>
    <w:rsid w:val="00A025BE"/>
    <w:rsid w:val="00A312E6"/>
    <w:rsid w:val="00A65F54"/>
    <w:rsid w:val="00AB71F7"/>
    <w:rsid w:val="00B11C15"/>
    <w:rsid w:val="00B70E4E"/>
    <w:rsid w:val="00BC0B03"/>
    <w:rsid w:val="00BC0F10"/>
    <w:rsid w:val="00BF6BBC"/>
    <w:rsid w:val="00CC30A8"/>
    <w:rsid w:val="00D04218"/>
    <w:rsid w:val="00D22E65"/>
    <w:rsid w:val="00D926ED"/>
    <w:rsid w:val="00DA287B"/>
    <w:rsid w:val="00DC4C91"/>
    <w:rsid w:val="00DD1A10"/>
    <w:rsid w:val="00DE0ABD"/>
    <w:rsid w:val="00E9081E"/>
    <w:rsid w:val="00E96CEA"/>
    <w:rsid w:val="00EC03A5"/>
    <w:rsid w:val="00F046BC"/>
    <w:rsid w:val="00F27CF2"/>
    <w:rsid w:val="00F402A1"/>
    <w:rsid w:val="00F43822"/>
    <w:rsid w:val="00FA5986"/>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9F114-E43A-4648-ABCA-AC04C3BB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2017-04-21T18:39:00Z</dcterms:created>
  <dcterms:modified xsi:type="dcterms:W3CDTF">2017-04-21T18:39:00Z</dcterms:modified>
</cp:coreProperties>
</file>